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3B" w:rsidRDefault="00546445">
      <w:pPr>
        <w:spacing w:after="0" w:line="238" w:lineRule="auto"/>
        <w:ind w:left="0" w:firstLine="0"/>
        <w:jc w:val="center"/>
      </w:pPr>
      <w:r>
        <w:rPr>
          <w:sz w:val="28"/>
        </w:rPr>
        <w:t xml:space="preserve">Updated Guidance for City Agencies on Leave Policy Applicable During the Outbreak of Coronavirus Disease 2019 (COVID-19), eff. April 1, 2020 </w:t>
      </w:r>
    </w:p>
    <w:p w:rsidR="00D77D3B" w:rsidRDefault="00546445">
      <w:pPr>
        <w:spacing w:after="0" w:line="259" w:lineRule="auto"/>
        <w:ind w:left="341" w:firstLine="0"/>
      </w:pPr>
      <w:r>
        <w:t xml:space="preserve"> </w:t>
      </w:r>
    </w:p>
    <w:p w:rsidR="00D77D3B" w:rsidRDefault="00546445">
      <w:pPr>
        <w:spacing w:after="0" w:line="259" w:lineRule="auto"/>
        <w:ind w:left="341" w:firstLine="0"/>
      </w:pPr>
      <w:r>
        <w:t xml:space="preserve"> </w:t>
      </w:r>
    </w:p>
    <w:p w:rsidR="00D77D3B" w:rsidRDefault="00546445">
      <w:pPr>
        <w:ind w:right="66"/>
      </w:pPr>
      <w:r>
        <w:t>This document sets forth City leave policy with respect to City employees to mitigate the risk of the spread of Coronavirus Disease 2019 (COVID-19). This Guidance incorporates into existing leave policy for the COVID-19 emergency leave required by Division</w:t>
      </w:r>
      <w:r>
        <w:t>s C and E of the Families First Coronavirus Response Act (“FFCRA”), Pub. L. 116-127.</w:t>
      </w:r>
      <w:r>
        <w:rPr>
          <w:vertAlign w:val="superscript"/>
        </w:rPr>
        <w:footnoteReference w:id="1"/>
      </w:r>
      <w:r>
        <w:t xml:space="preserve">  It is effective April 1, 2020 and until further notice, and supersedes the Guidance issued on March 19, 2020.  </w:t>
      </w:r>
    </w:p>
    <w:p w:rsidR="00D77D3B" w:rsidRDefault="00546445">
      <w:pPr>
        <w:spacing w:after="9" w:line="259" w:lineRule="auto"/>
        <w:ind w:left="341" w:firstLine="0"/>
      </w:pPr>
      <w:r>
        <w:t xml:space="preserve"> </w:t>
      </w:r>
    </w:p>
    <w:p w:rsidR="00D77D3B" w:rsidRDefault="00546445">
      <w:pPr>
        <w:numPr>
          <w:ilvl w:val="0"/>
          <w:numId w:val="1"/>
        </w:numPr>
        <w:spacing w:after="10"/>
        <w:ind w:left="795" w:right="51" w:hanging="701"/>
      </w:pPr>
      <w:r>
        <w:t xml:space="preserve">Definition </w:t>
      </w:r>
    </w:p>
    <w:p w:rsidR="00D77D3B" w:rsidRDefault="00546445">
      <w:pPr>
        <w:spacing w:after="0" w:line="259" w:lineRule="auto"/>
        <w:ind w:left="341" w:firstLine="0"/>
      </w:pPr>
      <w:r>
        <w:t xml:space="preserve"> </w:t>
      </w:r>
    </w:p>
    <w:p w:rsidR="00D77D3B" w:rsidRDefault="00546445">
      <w:pPr>
        <w:ind w:left="1071" w:right="66"/>
      </w:pPr>
      <w:r>
        <w:t>A.</w:t>
      </w:r>
      <w:r>
        <w:t xml:space="preserve"> </w:t>
      </w:r>
      <w:r>
        <w:t>“Symptoms of COVID-19” means the follo</w:t>
      </w:r>
      <w:r>
        <w:t xml:space="preserve">wing physical symptoms: </w:t>
      </w:r>
    </w:p>
    <w:p w:rsidR="00D77D3B" w:rsidRDefault="00546445">
      <w:pPr>
        <w:spacing w:after="1" w:line="259" w:lineRule="auto"/>
        <w:ind w:left="1061" w:firstLine="0"/>
      </w:pPr>
      <w:r>
        <w:t xml:space="preserve"> </w:t>
      </w:r>
    </w:p>
    <w:p w:rsidR="00D77D3B" w:rsidRDefault="00546445">
      <w:pPr>
        <w:numPr>
          <w:ilvl w:val="4"/>
          <w:numId w:val="2"/>
        </w:numPr>
        <w:ind w:right="66" w:hanging="360"/>
      </w:pPr>
      <w:r>
        <w:t xml:space="preserve">Fever (temperature above 100.4 degrees Fahrenheit or 38 degrees Celsius </w:t>
      </w:r>
    </w:p>
    <w:p w:rsidR="00D77D3B" w:rsidRDefault="00546445">
      <w:pPr>
        <w:numPr>
          <w:ilvl w:val="4"/>
          <w:numId w:val="2"/>
        </w:numPr>
        <w:ind w:right="66" w:hanging="360"/>
      </w:pPr>
      <w:r>
        <w:t>Cough</w:t>
      </w:r>
      <w:r>
        <w:t xml:space="preserve"> </w:t>
      </w:r>
    </w:p>
    <w:p w:rsidR="00D77D3B" w:rsidRDefault="00546445">
      <w:pPr>
        <w:numPr>
          <w:ilvl w:val="4"/>
          <w:numId w:val="2"/>
        </w:numPr>
        <w:ind w:right="66" w:hanging="360"/>
      </w:pPr>
      <w:r>
        <w:t>Shortness of breath (difficulty breathing)</w:t>
      </w:r>
      <w:r>
        <w:t xml:space="preserve"> </w:t>
      </w:r>
    </w:p>
    <w:p w:rsidR="00D77D3B" w:rsidRDefault="00546445">
      <w:pPr>
        <w:numPr>
          <w:ilvl w:val="4"/>
          <w:numId w:val="2"/>
        </w:numPr>
        <w:ind w:right="66" w:hanging="360"/>
      </w:pPr>
      <w:r>
        <w:t>Sore throat</w:t>
      </w:r>
      <w:r>
        <w:t xml:space="preserve"> </w:t>
      </w:r>
    </w:p>
    <w:p w:rsidR="00D77D3B" w:rsidRDefault="00546445">
      <w:pPr>
        <w:spacing w:after="0" w:line="259" w:lineRule="auto"/>
        <w:ind w:left="1061" w:firstLine="0"/>
      </w:pPr>
      <w:r>
        <w:t xml:space="preserve"> </w:t>
      </w:r>
    </w:p>
    <w:p w:rsidR="00D77D3B" w:rsidRDefault="00546445">
      <w:pPr>
        <w:ind w:left="1071" w:right="66"/>
      </w:pPr>
      <w:r>
        <w:t>B.</w:t>
      </w:r>
      <w:r>
        <w:t xml:space="preserve"> </w:t>
      </w:r>
      <w:r>
        <w:t xml:space="preserve">“Health Care Provider” means  </w:t>
      </w:r>
    </w:p>
    <w:p w:rsidR="00D77D3B" w:rsidRDefault="00546445">
      <w:pPr>
        <w:spacing w:after="0" w:line="259" w:lineRule="auto"/>
        <w:ind w:left="1061" w:firstLine="0"/>
      </w:pPr>
      <w:r>
        <w:t xml:space="preserve"> </w:t>
      </w:r>
    </w:p>
    <w:p w:rsidR="00D77D3B" w:rsidRDefault="00546445">
      <w:pPr>
        <w:numPr>
          <w:ilvl w:val="4"/>
          <w:numId w:val="3"/>
        </w:numPr>
        <w:ind w:right="66" w:hanging="360"/>
      </w:pPr>
      <w:r>
        <w:t>A person licensed, when required,  to provide health care as a</w:t>
      </w:r>
      <w:r>
        <w:t xml:space="preserve"> </w:t>
      </w:r>
      <w:r>
        <w:t>doctor of medicine or osteopathy; podiatrist; dentist; clinical psychologist; optometrist;  chiropractor;  nurse; nurse practitioner; nurse-midwife; clinical social worker; physician assistant;</w:t>
      </w:r>
      <w:r>
        <w:t xml:space="preserve"> technician, including, but not limited to medical, laboratory, or radiological technician; pharmacist; and home health-care provider and any employee who works at the Department of Health and Mental Hygiene, a hospital, health care center, health clinic, </w:t>
      </w:r>
      <w:r>
        <w:t xml:space="preserve">mobile health facility, nursing facility, nursing home, pharmacy; and </w:t>
      </w:r>
    </w:p>
    <w:p w:rsidR="00D77D3B" w:rsidRDefault="00546445">
      <w:pPr>
        <w:spacing w:after="0" w:line="259" w:lineRule="auto"/>
        <w:ind w:left="1061" w:firstLine="0"/>
      </w:pPr>
      <w:r>
        <w:t xml:space="preserve">  </w:t>
      </w:r>
    </w:p>
    <w:p w:rsidR="00D77D3B" w:rsidRDefault="00546445">
      <w:pPr>
        <w:numPr>
          <w:ilvl w:val="4"/>
          <w:numId w:val="3"/>
        </w:numPr>
        <w:ind w:right="66" w:hanging="360"/>
      </w:pPr>
      <w:r>
        <w:t>Any other person whose service is necessary to the City’s provision of health care in a hospital, clinical, mobile or other appropriate setting, as determined in the discretion of th</w:t>
      </w:r>
      <w:r>
        <w:t xml:space="preserve">e City agency that employs such person or to which such person has been assigned. </w:t>
      </w:r>
    </w:p>
    <w:p w:rsidR="00D77D3B" w:rsidRDefault="00546445">
      <w:pPr>
        <w:spacing w:after="0" w:line="259" w:lineRule="auto"/>
        <w:ind w:left="1061" w:firstLine="0"/>
      </w:pPr>
      <w:r>
        <w:t xml:space="preserve"> </w:t>
      </w:r>
    </w:p>
    <w:p w:rsidR="00D77D3B" w:rsidRDefault="00546445">
      <w:pPr>
        <w:numPr>
          <w:ilvl w:val="3"/>
          <w:numId w:val="4"/>
        </w:numPr>
        <w:ind w:right="66" w:hanging="360"/>
      </w:pPr>
      <w:r>
        <w:t>“Emergency Responder” means an employee who is necessary for the provision of transport, care, health care, comfort, and nutrition of patients, or whose services are other</w:t>
      </w:r>
      <w:r>
        <w:t>wise needed to limit the spread of COVID-19, including, but not limited to, law enforcement officers, correctional institution personnel, fire fighters, emergency medical services personnel, physicians, nurses, public health personnel, emergency medical te</w:t>
      </w:r>
      <w:r>
        <w:t>chnicians, paramedics, emergency management personnel, 911 operators, public works personnel and persons with skills or training in operating specialized equipment or the skills needed to provide aid in a declared emergency and well as personnel who work f</w:t>
      </w:r>
      <w:r>
        <w:t xml:space="preserve">or such facilities employing these individuals and whose work is necessary to maintain the operations of the facility. </w:t>
      </w:r>
    </w:p>
    <w:p w:rsidR="00D77D3B" w:rsidRDefault="00546445">
      <w:pPr>
        <w:spacing w:after="0" w:line="259" w:lineRule="auto"/>
        <w:ind w:left="1061" w:firstLine="0"/>
      </w:pPr>
      <w:r>
        <w:t xml:space="preserve"> </w:t>
      </w:r>
    </w:p>
    <w:p w:rsidR="00D77D3B" w:rsidRDefault="00546445">
      <w:pPr>
        <w:numPr>
          <w:ilvl w:val="3"/>
          <w:numId w:val="4"/>
        </w:numPr>
        <w:ind w:right="66" w:hanging="360"/>
      </w:pPr>
      <w:r>
        <w:t>“Two workweeks” means the number of hours that an employee is regularly scheduled to work in a two-week period.  Examples: for an empl</w:t>
      </w:r>
      <w:r>
        <w:t xml:space="preserve">oyee whose regular schedule is 40 hours per week, two workweeks is 80 hours; for an employee whose regular schedule is 35 hours per week, two workweeks is 70 hours. </w:t>
      </w:r>
    </w:p>
    <w:p w:rsidR="00D77D3B" w:rsidRDefault="00546445">
      <w:pPr>
        <w:spacing w:after="0" w:line="259" w:lineRule="auto"/>
        <w:ind w:left="1061" w:firstLine="0"/>
      </w:pPr>
      <w:r>
        <w:t xml:space="preserve"> </w:t>
      </w:r>
    </w:p>
    <w:p w:rsidR="00D77D3B" w:rsidRDefault="00546445">
      <w:pPr>
        <w:numPr>
          <w:ilvl w:val="0"/>
          <w:numId w:val="1"/>
        </w:numPr>
        <w:spacing w:after="10"/>
        <w:ind w:left="795" w:right="51" w:hanging="701"/>
      </w:pPr>
      <w:r>
        <w:t>Determination of Personnel Performing Essential and Non-Essential Services during the Ou</w:t>
      </w:r>
      <w:r>
        <w:t xml:space="preserve">tbreak </w:t>
      </w:r>
    </w:p>
    <w:p w:rsidR="00D77D3B" w:rsidRDefault="00546445">
      <w:pPr>
        <w:spacing w:after="0" w:line="259" w:lineRule="auto"/>
        <w:ind w:left="1061" w:firstLine="0"/>
      </w:pPr>
      <w:r>
        <w:t xml:space="preserve"> </w:t>
      </w:r>
    </w:p>
    <w:p w:rsidR="00D77D3B" w:rsidRDefault="00546445">
      <w:pPr>
        <w:ind w:right="66"/>
      </w:pPr>
      <w:r>
        <w:t>Every agency shall continue to implement and refine as necessary determinations concerning which services it provides that are essential during the COVID-19 outbreak, consistent with the March 19, 2020 Guidance, and identify the employees who are</w:t>
      </w:r>
      <w:r>
        <w:t xml:space="preserve"> necessary to ensure provision of those essential services. </w:t>
      </w:r>
    </w:p>
    <w:p w:rsidR="00D77D3B" w:rsidRDefault="00546445">
      <w:pPr>
        <w:spacing w:after="0" w:line="259" w:lineRule="auto"/>
        <w:ind w:left="341" w:firstLine="0"/>
      </w:pPr>
      <w:r>
        <w:t xml:space="preserve"> </w:t>
      </w:r>
    </w:p>
    <w:p w:rsidR="00D77D3B" w:rsidRDefault="00546445">
      <w:pPr>
        <w:ind w:left="1071" w:right="66"/>
      </w:pPr>
      <w:r>
        <w:t>A.</w:t>
      </w:r>
      <w:r>
        <w:t xml:space="preserve"> </w:t>
      </w:r>
      <w:r>
        <w:t xml:space="preserve">Essential services are defined as follows in the order of importance: </w:t>
      </w:r>
    </w:p>
    <w:p w:rsidR="00D77D3B" w:rsidRDefault="00546445">
      <w:pPr>
        <w:spacing w:after="0" w:line="259" w:lineRule="auto"/>
        <w:ind w:left="341" w:firstLine="0"/>
      </w:pPr>
      <w:r>
        <w:t xml:space="preserve"> </w:t>
      </w:r>
    </w:p>
    <w:p w:rsidR="00D77D3B" w:rsidRDefault="00546445">
      <w:pPr>
        <w:numPr>
          <w:ilvl w:val="5"/>
          <w:numId w:val="5"/>
        </w:numPr>
        <w:ind w:right="66" w:hanging="360"/>
      </w:pPr>
      <w:r>
        <w:t xml:space="preserve">Responding to the COVID-19 Emergency </w:t>
      </w:r>
    </w:p>
    <w:p w:rsidR="00D77D3B" w:rsidRDefault="00546445">
      <w:pPr>
        <w:spacing w:after="0" w:line="259" w:lineRule="auto"/>
        <w:ind w:left="341" w:firstLine="0"/>
      </w:pPr>
      <w:r>
        <w:t xml:space="preserve"> </w:t>
      </w:r>
    </w:p>
    <w:p w:rsidR="00D77D3B" w:rsidRDefault="00546445">
      <w:pPr>
        <w:ind w:right="66"/>
      </w:pPr>
      <w:r>
        <w:t xml:space="preserve">Delivery of any service or function that is critical to the mitigation of the spread of COVID-19 and emergencies arising because of the outbreak or actions taken to mitigate the outbreak. </w:t>
      </w:r>
    </w:p>
    <w:p w:rsidR="00D77D3B" w:rsidRDefault="00546445">
      <w:pPr>
        <w:spacing w:after="0" w:line="259" w:lineRule="auto"/>
        <w:ind w:left="2141" w:firstLine="0"/>
      </w:pPr>
      <w:r>
        <w:t xml:space="preserve"> </w:t>
      </w:r>
    </w:p>
    <w:p w:rsidR="00D77D3B" w:rsidRDefault="00546445">
      <w:pPr>
        <w:numPr>
          <w:ilvl w:val="5"/>
          <w:numId w:val="5"/>
        </w:numPr>
        <w:ind w:right="66" w:hanging="360"/>
      </w:pPr>
      <w:r>
        <w:t xml:space="preserve">Lifesaving </w:t>
      </w:r>
    </w:p>
    <w:p w:rsidR="00D77D3B" w:rsidRDefault="00546445">
      <w:pPr>
        <w:spacing w:after="0" w:line="259" w:lineRule="auto"/>
        <w:ind w:left="1421" w:firstLine="0"/>
      </w:pPr>
      <w:r>
        <w:t xml:space="preserve"> </w:t>
      </w:r>
    </w:p>
    <w:p w:rsidR="00D77D3B" w:rsidRDefault="00546445">
      <w:pPr>
        <w:ind w:right="66"/>
      </w:pPr>
      <w:r>
        <w:t>The direct, in-person delivery of lifesaving servic</w:t>
      </w:r>
      <w:r>
        <w:t xml:space="preserve">es to the public.   </w:t>
      </w:r>
    </w:p>
    <w:p w:rsidR="00D77D3B" w:rsidRDefault="00546445">
      <w:pPr>
        <w:ind w:right="66"/>
      </w:pPr>
      <w:r>
        <w:t xml:space="preserve">Examples: Emergency medical services technicians and paramedics; 911 operators;  </w:t>
      </w:r>
    </w:p>
    <w:p w:rsidR="00D77D3B" w:rsidRDefault="00546445">
      <w:pPr>
        <w:spacing w:after="0" w:line="259" w:lineRule="auto"/>
        <w:ind w:left="1061" w:firstLine="0"/>
      </w:pPr>
      <w:r>
        <w:t xml:space="preserve"> </w:t>
      </w:r>
    </w:p>
    <w:p w:rsidR="00D77D3B" w:rsidRDefault="00546445">
      <w:pPr>
        <w:numPr>
          <w:ilvl w:val="5"/>
          <w:numId w:val="5"/>
        </w:numPr>
        <w:ind w:right="66" w:hanging="360"/>
      </w:pPr>
      <w:r>
        <w:t xml:space="preserve">Life Protecting, Life Safety, Transportation, Utilities </w:t>
      </w:r>
    </w:p>
    <w:p w:rsidR="00D77D3B" w:rsidRDefault="00546445">
      <w:pPr>
        <w:spacing w:after="0" w:line="259" w:lineRule="auto"/>
        <w:ind w:left="1061" w:firstLine="0"/>
      </w:pPr>
      <w:r>
        <w:t xml:space="preserve"> </w:t>
      </w:r>
    </w:p>
    <w:p w:rsidR="00D77D3B" w:rsidRDefault="00546445">
      <w:pPr>
        <w:ind w:right="66"/>
      </w:pPr>
      <w:r>
        <w:t xml:space="preserve">Direct, in-person delivery of medical care to individuals in any capacity, control and care of incarcerated individuals or others under mandated or self-selected government custody of care of any interval, key personnel required to perform essential court </w:t>
      </w:r>
      <w:r>
        <w:t>proceedings that cannot be conducted remotely, removal / mitigation of environmental hazards, operation of mobility and transportation systems, and physical inspection or maintenance of properties and regulated public and private facilities to ensure conti</w:t>
      </w:r>
      <w:r>
        <w:t xml:space="preserve">nued public safety and public health and other maintenance, repair, and infrastructure to support lifesavings operations. </w:t>
      </w:r>
    </w:p>
    <w:p w:rsidR="00D77D3B" w:rsidRDefault="00546445">
      <w:pPr>
        <w:spacing w:after="0" w:line="259" w:lineRule="auto"/>
        <w:ind w:left="341" w:firstLine="0"/>
      </w:pPr>
      <w:r>
        <w:t xml:space="preserve"> </w:t>
      </w:r>
    </w:p>
    <w:p w:rsidR="00D77D3B" w:rsidRDefault="00546445">
      <w:pPr>
        <w:ind w:right="66"/>
      </w:pPr>
      <w:r>
        <w:t xml:space="preserve">Examples: Public Health Nurse, Shelter Workers, Marine Engineer (Ferry); traffic enforcement agents </w:t>
      </w:r>
    </w:p>
    <w:p w:rsidR="00D77D3B" w:rsidRDefault="00546445">
      <w:pPr>
        <w:spacing w:after="0" w:line="259" w:lineRule="auto"/>
        <w:ind w:left="341" w:firstLine="0"/>
      </w:pPr>
      <w:r>
        <w:t xml:space="preserve"> </w:t>
      </w:r>
    </w:p>
    <w:p w:rsidR="00D77D3B" w:rsidRDefault="00546445">
      <w:pPr>
        <w:numPr>
          <w:ilvl w:val="5"/>
          <w:numId w:val="5"/>
        </w:numPr>
        <w:ind w:right="66" w:hanging="360"/>
      </w:pPr>
      <w:r>
        <w:t>Workforce and Internal Servi</w:t>
      </w:r>
      <w:r>
        <w:t xml:space="preserve">ce Continuity </w:t>
      </w:r>
    </w:p>
    <w:p w:rsidR="00D77D3B" w:rsidRDefault="00546445">
      <w:pPr>
        <w:spacing w:after="0" w:line="259" w:lineRule="auto"/>
        <w:ind w:left="1061" w:firstLine="0"/>
      </w:pPr>
      <w:r>
        <w:t xml:space="preserve"> </w:t>
      </w:r>
    </w:p>
    <w:p w:rsidR="00D77D3B" w:rsidRDefault="00546445">
      <w:pPr>
        <w:ind w:right="66"/>
      </w:pPr>
      <w:r>
        <w:t xml:space="preserve">Functions, systems, and support of critical equipment and networks that enable agency-specific and whole of government workforce productivity; revenue generation. </w:t>
      </w:r>
    </w:p>
    <w:p w:rsidR="00D77D3B" w:rsidRDefault="00546445">
      <w:pPr>
        <w:spacing w:after="0" w:line="259" w:lineRule="auto"/>
        <w:ind w:left="341" w:firstLine="0"/>
      </w:pPr>
      <w:r>
        <w:t xml:space="preserve"> </w:t>
      </w:r>
    </w:p>
    <w:p w:rsidR="00D77D3B" w:rsidRDefault="00546445">
      <w:pPr>
        <w:ind w:right="66"/>
      </w:pPr>
      <w:r>
        <w:t xml:space="preserve">Examples: </w:t>
      </w:r>
      <w:r>
        <w:tab/>
        <w:t>Information technology employees who maintain citywide and age</w:t>
      </w:r>
      <w:r>
        <w:t xml:space="preserve">ncy networks and communications, revenue operations, essential services contract administrators; city tax auditors; consumer affairs inspector </w:t>
      </w:r>
    </w:p>
    <w:p w:rsidR="00D77D3B" w:rsidRDefault="00546445">
      <w:pPr>
        <w:spacing w:after="0" w:line="259" w:lineRule="auto"/>
        <w:ind w:left="341" w:firstLine="0"/>
      </w:pPr>
      <w:r>
        <w:t xml:space="preserve"> </w:t>
      </w:r>
    </w:p>
    <w:p w:rsidR="00D77D3B" w:rsidRDefault="00546445">
      <w:pPr>
        <w:ind w:left="1071" w:right="66"/>
      </w:pPr>
      <w:r>
        <w:t>B.</w:t>
      </w:r>
      <w:r>
        <w:t xml:space="preserve"> </w:t>
      </w:r>
      <w:r>
        <w:t xml:space="preserve">Non-essential services: </w:t>
      </w:r>
    </w:p>
    <w:p w:rsidR="00D77D3B" w:rsidRDefault="00546445">
      <w:pPr>
        <w:spacing w:after="0" w:line="259" w:lineRule="auto"/>
        <w:ind w:left="341" w:firstLine="0"/>
      </w:pPr>
      <w:r>
        <w:t xml:space="preserve"> </w:t>
      </w:r>
    </w:p>
    <w:p w:rsidR="00D77D3B" w:rsidRDefault="00546445">
      <w:pPr>
        <w:ind w:right="66"/>
      </w:pPr>
      <w:r>
        <w:t xml:space="preserve">Agency-specific and whole of government roles, functions, and duties that are not critically essential to the continued performance of the above four categories. </w:t>
      </w:r>
    </w:p>
    <w:p w:rsidR="00D77D3B" w:rsidRDefault="00546445">
      <w:pPr>
        <w:spacing w:after="0" w:line="259" w:lineRule="auto"/>
        <w:ind w:left="341" w:firstLine="0"/>
      </w:pPr>
      <w:r>
        <w:t xml:space="preserve"> </w:t>
      </w:r>
    </w:p>
    <w:p w:rsidR="00D77D3B" w:rsidRDefault="00546445">
      <w:pPr>
        <w:ind w:right="66"/>
      </w:pPr>
      <w:r>
        <w:t xml:space="preserve">Examples:  records management, license processing, grant auditing </w:t>
      </w:r>
    </w:p>
    <w:p w:rsidR="00D77D3B" w:rsidRDefault="00546445">
      <w:pPr>
        <w:spacing w:after="9" w:line="259" w:lineRule="auto"/>
        <w:ind w:left="341" w:firstLine="0"/>
      </w:pPr>
      <w:r>
        <w:t xml:space="preserve"> </w:t>
      </w:r>
    </w:p>
    <w:p w:rsidR="00D77D3B" w:rsidRDefault="00546445">
      <w:pPr>
        <w:numPr>
          <w:ilvl w:val="0"/>
          <w:numId w:val="1"/>
        </w:numPr>
        <w:spacing w:after="10"/>
        <w:ind w:left="795" w:right="51" w:hanging="701"/>
      </w:pPr>
      <w:r>
        <w:t>Work Assignments Durin</w:t>
      </w:r>
      <w:r>
        <w:t xml:space="preserve">g the COVID-19 Emergency  </w:t>
      </w:r>
    </w:p>
    <w:p w:rsidR="00D77D3B" w:rsidRDefault="00546445">
      <w:pPr>
        <w:spacing w:after="0" w:line="259" w:lineRule="auto"/>
        <w:ind w:left="701" w:firstLine="0"/>
      </w:pPr>
      <w:r>
        <w:t xml:space="preserve"> </w:t>
      </w:r>
    </w:p>
    <w:p w:rsidR="00D77D3B" w:rsidRDefault="00546445">
      <w:pPr>
        <w:numPr>
          <w:ilvl w:val="2"/>
          <w:numId w:val="10"/>
        </w:numPr>
        <w:ind w:right="66" w:hanging="360"/>
      </w:pPr>
      <w:r>
        <w:t xml:space="preserve">Employees Currently Performing Non-Essential Services </w:t>
      </w:r>
    </w:p>
    <w:p w:rsidR="00D77D3B" w:rsidRDefault="00546445">
      <w:pPr>
        <w:spacing w:after="0" w:line="259" w:lineRule="auto"/>
        <w:ind w:left="341" w:firstLine="0"/>
      </w:pPr>
      <w:r>
        <w:t xml:space="preserve"> </w:t>
      </w:r>
    </w:p>
    <w:p w:rsidR="00D77D3B" w:rsidRDefault="00546445">
      <w:pPr>
        <w:ind w:right="66"/>
      </w:pPr>
      <w:r>
        <w:t>Employees who currently are not assigned to perform essential services, as defined in Part II of this guidance are designated “employees currently performing non-essentia</w:t>
      </w:r>
      <w:r>
        <w:t>l services.”  Administrative and clerical office-based employees are presumptively performing non-essential services. If their presence at the worksite is necessary for the performance of an essential service, they may be designated by the Agency as an emp</w:t>
      </w:r>
      <w:r>
        <w:t xml:space="preserve">loyee providing essential service.  For example, an administrative employee who performs a task for an essential service that cannot be made accessible to the employee’s home, may be designated as an employee currently providing essential service. </w:t>
      </w:r>
    </w:p>
    <w:p w:rsidR="00D77D3B" w:rsidRDefault="00546445">
      <w:pPr>
        <w:spacing w:after="0" w:line="259" w:lineRule="auto"/>
        <w:ind w:left="341" w:firstLine="0"/>
      </w:pPr>
      <w:r>
        <w:t xml:space="preserve"> </w:t>
      </w:r>
    </w:p>
    <w:p w:rsidR="00D77D3B" w:rsidRDefault="00546445">
      <w:pPr>
        <w:ind w:right="66"/>
      </w:pPr>
      <w:r>
        <w:t>All p</w:t>
      </w:r>
      <w:r>
        <w:t>ersonnel currently performing non-essential services are expected to perform work remotely.  They are required to complete all work assignments which they are assigned by the Agency and which they have the technological capacity to perform at home using pe</w:t>
      </w:r>
      <w:r>
        <w:t>rsonal equipment or equipment provided by the agency (e.g., computer, phone, internet access).  Those employees may also be re-assigned to perform essential services within their agencies or by the City in other agencies at a location other than at their h</w:t>
      </w:r>
      <w:r>
        <w:t xml:space="preserve">ome including, but not limited to, at emergency services administered by the Department of Education, such as Regional Enrichment Centers, food services sites, and nursing care sites for vulnerable students, as circumstances require. </w:t>
      </w:r>
    </w:p>
    <w:p w:rsidR="00D77D3B" w:rsidRDefault="00546445">
      <w:pPr>
        <w:spacing w:after="0" w:line="259" w:lineRule="auto"/>
        <w:ind w:left="341" w:firstLine="0"/>
      </w:pPr>
      <w:r>
        <w:t xml:space="preserve"> </w:t>
      </w:r>
    </w:p>
    <w:p w:rsidR="00D77D3B" w:rsidRDefault="00546445">
      <w:pPr>
        <w:ind w:right="66"/>
      </w:pPr>
      <w:r>
        <w:t>Designation of an e</w:t>
      </w:r>
      <w:r>
        <w:t>mployee as performing non-essential services is temporary and may change to essential as the COVID-19 emergency develops. An employee who refuses to perform assigned work or to obtain equipment provided by the Agency to perform assigned work shall be charg</w:t>
      </w:r>
      <w:r>
        <w:t>ed accrued leave and may be subject to discipline. Agencies must make and document all diligent efforts to identify work that can be performed remotely by an employee designated as performing non-essential services. An employee designated as currently perf</w:t>
      </w:r>
      <w:r>
        <w:t xml:space="preserve">orming nonessential services who in the rare circumstance is unable to work remotely because of inadequate equipment or lack of assignment shall be granted excused leave with pay without charge to leave accruals. </w:t>
      </w:r>
    </w:p>
    <w:p w:rsidR="00D77D3B" w:rsidRDefault="00546445">
      <w:pPr>
        <w:spacing w:after="6" w:line="259" w:lineRule="auto"/>
        <w:ind w:left="341" w:firstLine="0"/>
      </w:pPr>
      <w:r>
        <w:t xml:space="preserve"> </w:t>
      </w:r>
    </w:p>
    <w:p w:rsidR="00D77D3B" w:rsidRDefault="00546445">
      <w:pPr>
        <w:spacing w:after="0" w:line="259" w:lineRule="auto"/>
        <w:ind w:left="341" w:firstLine="0"/>
      </w:pPr>
      <w:r>
        <w:t xml:space="preserve"> </w:t>
      </w:r>
      <w:r>
        <w:tab/>
        <w:t xml:space="preserve"> </w:t>
      </w:r>
    </w:p>
    <w:p w:rsidR="00D77D3B" w:rsidRDefault="00546445">
      <w:pPr>
        <w:numPr>
          <w:ilvl w:val="2"/>
          <w:numId w:val="10"/>
        </w:numPr>
        <w:ind w:right="66" w:hanging="360"/>
      </w:pPr>
      <w:r>
        <w:t xml:space="preserve">Employees Currently Performing Essential Services  </w:t>
      </w:r>
    </w:p>
    <w:p w:rsidR="00D77D3B" w:rsidRDefault="00546445">
      <w:pPr>
        <w:spacing w:after="0" w:line="259" w:lineRule="auto"/>
        <w:ind w:left="341" w:firstLine="0"/>
      </w:pPr>
      <w:r>
        <w:t xml:space="preserve"> </w:t>
      </w:r>
    </w:p>
    <w:p w:rsidR="00D77D3B" w:rsidRDefault="00546445">
      <w:pPr>
        <w:numPr>
          <w:ilvl w:val="4"/>
          <w:numId w:val="8"/>
        </w:numPr>
        <w:ind w:right="66" w:hanging="360"/>
      </w:pPr>
      <w:r>
        <w:t>Employees currently performing essential services are required to work at home or other alternate location if the agency has determined that is feasible pursuant to the agency’s telework plan implemente</w:t>
      </w:r>
      <w:r>
        <w:t xml:space="preserve">d in accordance with Personnel Service Bulletin 600-3 (Temporary Citywide Telework Policy for City Employees During the COVID-19 Outbreak), dated March 13, 2020.   </w:t>
      </w:r>
    </w:p>
    <w:p w:rsidR="00D77D3B" w:rsidRDefault="00546445">
      <w:pPr>
        <w:spacing w:after="0" w:line="259" w:lineRule="auto"/>
        <w:ind w:left="1061" w:firstLine="0"/>
      </w:pPr>
      <w:r>
        <w:t xml:space="preserve"> </w:t>
      </w:r>
    </w:p>
    <w:p w:rsidR="00D77D3B" w:rsidRDefault="00546445">
      <w:pPr>
        <w:numPr>
          <w:ilvl w:val="4"/>
          <w:numId w:val="8"/>
        </w:numPr>
        <w:ind w:right="66" w:hanging="360"/>
      </w:pPr>
      <w:r>
        <w:t>Employees who are unable to perform essential services at home, for example field workers</w:t>
      </w:r>
      <w:r>
        <w:t xml:space="preserve">, must continue to work at the locations to which their agencies have assigned them. </w:t>
      </w:r>
    </w:p>
    <w:p w:rsidR="00D77D3B" w:rsidRDefault="00546445">
      <w:pPr>
        <w:spacing w:after="0" w:line="259" w:lineRule="auto"/>
        <w:ind w:left="1421" w:firstLine="0"/>
      </w:pPr>
      <w:r>
        <w:t xml:space="preserve"> </w:t>
      </w:r>
    </w:p>
    <w:p w:rsidR="00D77D3B" w:rsidRDefault="00546445">
      <w:pPr>
        <w:numPr>
          <w:ilvl w:val="7"/>
          <w:numId w:val="11"/>
        </w:numPr>
        <w:ind w:right="66" w:hanging="360"/>
      </w:pPr>
      <w:r>
        <w:t>Such Employees performing essential services who exhibit symptoms of COVID-19 that are not due to a pre-existing condition must stay home. An employee who does not fall</w:t>
      </w:r>
      <w:r>
        <w:t xml:space="preserve"> within the provisions of Section IV below but who has been exposed to another person who is or may be infected with COVID-19 is not authorized to receive excused leave under this paragraph.  </w:t>
      </w:r>
    </w:p>
    <w:p w:rsidR="00D77D3B" w:rsidRDefault="00546445">
      <w:pPr>
        <w:spacing w:after="0" w:line="259" w:lineRule="auto"/>
        <w:ind w:left="1421" w:firstLine="0"/>
      </w:pPr>
      <w:r>
        <w:t xml:space="preserve"> </w:t>
      </w:r>
    </w:p>
    <w:p w:rsidR="00D77D3B" w:rsidRDefault="00546445">
      <w:pPr>
        <w:numPr>
          <w:ilvl w:val="7"/>
          <w:numId w:val="11"/>
        </w:numPr>
        <w:ind w:right="66" w:hanging="360"/>
      </w:pPr>
      <w:r>
        <w:t>If an employee is exhibiting symptoms of COVID-19, the agency</w:t>
      </w:r>
      <w:r>
        <w:t xml:space="preserve"> should instruct the employee to go home. Before instructing an employee to go home under this circumstance, the employee’s supervisor or manager must notify the agency’s human resources department.  </w:t>
      </w:r>
    </w:p>
    <w:p w:rsidR="00D77D3B" w:rsidRDefault="00546445">
      <w:pPr>
        <w:spacing w:after="0" w:line="259" w:lineRule="auto"/>
        <w:ind w:left="1061" w:firstLine="0"/>
      </w:pPr>
      <w:r>
        <w:t xml:space="preserve"> </w:t>
      </w:r>
    </w:p>
    <w:p w:rsidR="00D77D3B" w:rsidRDefault="00546445">
      <w:pPr>
        <w:spacing w:after="9" w:line="259" w:lineRule="auto"/>
        <w:ind w:left="341" w:firstLine="0"/>
      </w:pPr>
      <w:r>
        <w:t xml:space="preserve"> </w:t>
      </w:r>
    </w:p>
    <w:p w:rsidR="00D77D3B" w:rsidRDefault="00546445">
      <w:pPr>
        <w:numPr>
          <w:ilvl w:val="0"/>
          <w:numId w:val="1"/>
        </w:numPr>
        <w:spacing w:after="10"/>
        <w:ind w:left="795" w:right="51" w:hanging="701"/>
      </w:pPr>
      <w:r>
        <w:t xml:space="preserve">Leave Policy </w:t>
      </w:r>
    </w:p>
    <w:p w:rsidR="00D77D3B" w:rsidRDefault="00546445">
      <w:pPr>
        <w:spacing w:after="0" w:line="259" w:lineRule="auto"/>
        <w:ind w:left="341" w:firstLine="0"/>
      </w:pPr>
      <w:r>
        <w:t xml:space="preserve"> </w:t>
      </w:r>
    </w:p>
    <w:p w:rsidR="00D77D3B" w:rsidRDefault="00546445">
      <w:pPr>
        <w:spacing w:after="10"/>
        <w:ind w:left="711" w:right="51"/>
      </w:pPr>
      <w:r>
        <w:t xml:space="preserve">A. Excused Leave  </w:t>
      </w:r>
    </w:p>
    <w:p w:rsidR="00D77D3B" w:rsidRDefault="00546445">
      <w:pPr>
        <w:spacing w:after="0" w:line="259" w:lineRule="auto"/>
        <w:ind w:left="1061" w:firstLine="0"/>
      </w:pPr>
      <w:r>
        <w:t xml:space="preserve"> </w:t>
      </w:r>
    </w:p>
    <w:p w:rsidR="00D77D3B" w:rsidRDefault="00546445">
      <w:pPr>
        <w:ind w:left="1431" w:right="66"/>
      </w:pPr>
      <w:r>
        <w:t>1.</w:t>
      </w:r>
      <w:r>
        <w:t xml:space="preserve"> </w:t>
      </w:r>
      <w:r>
        <w:t xml:space="preserve">General Provisions </w:t>
      </w:r>
    </w:p>
    <w:p w:rsidR="00D77D3B" w:rsidRDefault="00546445">
      <w:pPr>
        <w:spacing w:after="0" w:line="259" w:lineRule="auto"/>
        <w:ind w:left="1421" w:firstLine="0"/>
      </w:pPr>
      <w:r>
        <w:t xml:space="preserve"> </w:t>
      </w:r>
    </w:p>
    <w:p w:rsidR="00D77D3B" w:rsidRDefault="00546445">
      <w:pPr>
        <w:numPr>
          <w:ilvl w:val="6"/>
          <w:numId w:val="6"/>
        </w:numPr>
        <w:ind w:right="66" w:hanging="360"/>
      </w:pPr>
      <w:r>
        <w:t xml:space="preserve">Excused leave at full or partial pay under this Policy is immediately available to an employee who is unable to work or telework without regard to length of service.  </w:t>
      </w:r>
    </w:p>
    <w:p w:rsidR="00D77D3B" w:rsidRDefault="00546445">
      <w:pPr>
        <w:spacing w:after="0" w:line="259" w:lineRule="auto"/>
        <w:ind w:left="1061" w:firstLine="0"/>
      </w:pPr>
      <w:r>
        <w:t xml:space="preserve"> </w:t>
      </w:r>
    </w:p>
    <w:p w:rsidR="00D77D3B" w:rsidRDefault="00546445">
      <w:pPr>
        <w:numPr>
          <w:ilvl w:val="6"/>
          <w:numId w:val="6"/>
        </w:numPr>
        <w:ind w:right="66" w:hanging="360"/>
      </w:pPr>
      <w:r>
        <w:t>Length of excused leave: pursuant to new federal leave requirements of the Emergency Paid Sick Leave Act (Division E of the FFCRA) effective April 1, 2020, full-time employees may receive up to two workweeks of excused leave. Part-time employees may receiv</w:t>
      </w:r>
      <w:r>
        <w:t>e excused leave for the number of bi-weekly hours that the employee was expected to work. Where expected hours cannot be readily determined, part-time employees may receive excused leave for the average number of bi-weekly hours that the employee worked ov</w:t>
      </w:r>
      <w:r>
        <w:t xml:space="preserve">er the six months preceding the leave. </w:t>
      </w:r>
    </w:p>
    <w:p w:rsidR="00D77D3B" w:rsidRDefault="00546445">
      <w:pPr>
        <w:spacing w:after="0" w:line="259" w:lineRule="auto"/>
        <w:ind w:left="2861" w:firstLine="0"/>
      </w:pPr>
      <w:r>
        <w:t xml:space="preserve"> </w:t>
      </w:r>
    </w:p>
    <w:p w:rsidR="00D77D3B" w:rsidRDefault="00546445">
      <w:pPr>
        <w:numPr>
          <w:ilvl w:val="6"/>
          <w:numId w:val="6"/>
        </w:numPr>
        <w:ind w:right="66" w:hanging="360"/>
      </w:pPr>
      <w:r>
        <w:t xml:space="preserve">Excused leave under this Policy is in addition to existing rules and entitlement regarding leave, e.g. annual leave and sick leave.  </w:t>
      </w:r>
    </w:p>
    <w:p w:rsidR="00D77D3B" w:rsidRDefault="00546445">
      <w:pPr>
        <w:spacing w:after="0" w:line="259" w:lineRule="auto"/>
        <w:ind w:left="2501" w:firstLine="0"/>
      </w:pPr>
      <w:r>
        <w:t xml:space="preserve"> </w:t>
      </w:r>
    </w:p>
    <w:p w:rsidR="00D77D3B" w:rsidRDefault="00546445">
      <w:pPr>
        <w:numPr>
          <w:ilvl w:val="6"/>
          <w:numId w:val="6"/>
        </w:numPr>
        <w:ind w:right="66" w:hanging="360"/>
      </w:pPr>
      <w:r>
        <w:t xml:space="preserve">An employee may waive excused leave at partial (two-thirds) pay authorized by </w:t>
      </w:r>
      <w:r>
        <w:t xml:space="preserve">this policy and use accrued annual leave or sick leave, if applicable, during the period of excused leave at partial pay.  </w:t>
      </w:r>
    </w:p>
    <w:p w:rsidR="00D77D3B" w:rsidRDefault="00546445">
      <w:pPr>
        <w:spacing w:after="0" w:line="259" w:lineRule="auto"/>
        <w:ind w:left="2861" w:firstLine="0"/>
      </w:pPr>
      <w:r>
        <w:t xml:space="preserve"> </w:t>
      </w:r>
    </w:p>
    <w:p w:rsidR="00D77D3B" w:rsidRDefault="00546445">
      <w:pPr>
        <w:numPr>
          <w:ilvl w:val="6"/>
          <w:numId w:val="6"/>
        </w:numPr>
        <w:ind w:right="66" w:hanging="360"/>
      </w:pPr>
      <w:r>
        <w:t>Agencies shall not require employees to charge absences to other accrued leave during the period of excused leave authorized by th</w:t>
      </w:r>
      <w:r>
        <w:t xml:space="preserve">is policy.  </w:t>
      </w:r>
    </w:p>
    <w:p w:rsidR="00D77D3B" w:rsidRDefault="00546445">
      <w:pPr>
        <w:spacing w:after="0" w:line="259" w:lineRule="auto"/>
        <w:ind w:left="1421" w:firstLine="0"/>
      </w:pPr>
      <w:r>
        <w:t xml:space="preserve"> </w:t>
      </w:r>
    </w:p>
    <w:p w:rsidR="00D77D3B" w:rsidRDefault="00546445">
      <w:pPr>
        <w:numPr>
          <w:ilvl w:val="6"/>
          <w:numId w:val="6"/>
        </w:numPr>
        <w:ind w:right="66" w:hanging="360"/>
      </w:pPr>
      <w:r>
        <w:t xml:space="preserve">Leave that an employee has taken prior to April 1, 2020 shall not be counted toward the amount of excused leave authorized by this Policy.  </w:t>
      </w:r>
    </w:p>
    <w:p w:rsidR="00D77D3B" w:rsidRDefault="00546445">
      <w:pPr>
        <w:spacing w:after="0" w:line="259" w:lineRule="auto"/>
        <w:ind w:left="2501" w:firstLine="0"/>
      </w:pPr>
      <w:r>
        <w:t xml:space="preserve"> </w:t>
      </w:r>
    </w:p>
    <w:p w:rsidR="00D77D3B" w:rsidRDefault="00546445">
      <w:pPr>
        <w:numPr>
          <w:ilvl w:val="6"/>
          <w:numId w:val="6"/>
        </w:numPr>
        <w:ind w:right="66" w:hanging="360"/>
      </w:pPr>
      <w:r>
        <w:t>An eligible employee who can telework may utilize excused leave intermittently as agreed upon by t</w:t>
      </w:r>
      <w:r>
        <w:t>he agency and the employee. Unless the employee can telework, this leave must be taken in full-day increments</w:t>
      </w:r>
      <w:r>
        <w:rPr>
          <w:color w:val="1F497D"/>
        </w:rPr>
        <w:t xml:space="preserve">. </w:t>
      </w:r>
      <w:r>
        <w:t xml:space="preserve">  </w:t>
      </w:r>
    </w:p>
    <w:p w:rsidR="00D77D3B" w:rsidRDefault="00546445">
      <w:pPr>
        <w:spacing w:after="0" w:line="259" w:lineRule="auto"/>
        <w:ind w:left="1061" w:firstLine="0"/>
      </w:pPr>
      <w:r>
        <w:t xml:space="preserve"> </w:t>
      </w:r>
    </w:p>
    <w:p w:rsidR="00D77D3B" w:rsidRDefault="00546445">
      <w:pPr>
        <w:numPr>
          <w:ilvl w:val="6"/>
          <w:numId w:val="6"/>
        </w:numPr>
        <w:ind w:right="66" w:hanging="360"/>
      </w:pPr>
      <w:r>
        <w:t xml:space="preserve">The length of absence that requires an employee to submit required documentation upon return to work is extended from absences of more than </w:t>
      </w:r>
      <w:r>
        <w:t xml:space="preserve">three consecutive days to absences of more than five consecutive days.  </w:t>
      </w:r>
    </w:p>
    <w:p w:rsidR="00D77D3B" w:rsidRDefault="00546445">
      <w:pPr>
        <w:spacing w:after="0" w:line="259" w:lineRule="auto"/>
        <w:ind w:left="0" w:right="379" w:firstLine="0"/>
        <w:jc w:val="center"/>
      </w:pPr>
      <w:r>
        <w:t xml:space="preserve"> </w:t>
      </w:r>
    </w:p>
    <w:p w:rsidR="00D77D3B" w:rsidRDefault="00546445">
      <w:pPr>
        <w:numPr>
          <w:ilvl w:val="6"/>
          <w:numId w:val="6"/>
        </w:numPr>
        <w:ind w:right="66" w:hanging="360"/>
      </w:pPr>
      <w:r>
        <w:t xml:space="preserve">The City’s and all Agencies’ absence control procedures are suspended until further notice. </w:t>
      </w:r>
    </w:p>
    <w:p w:rsidR="00D77D3B" w:rsidRDefault="00546445">
      <w:pPr>
        <w:spacing w:after="0" w:line="259" w:lineRule="auto"/>
        <w:ind w:left="0" w:right="379" w:firstLine="0"/>
        <w:jc w:val="center"/>
      </w:pPr>
      <w:r>
        <w:t xml:space="preserve"> </w:t>
      </w:r>
    </w:p>
    <w:p w:rsidR="00D77D3B" w:rsidRDefault="00546445">
      <w:pPr>
        <w:numPr>
          <w:ilvl w:val="6"/>
          <w:numId w:val="6"/>
        </w:numPr>
        <w:ind w:right="66" w:hanging="360"/>
      </w:pPr>
      <w:r>
        <w:t xml:space="preserve">After the first workday (or portion thereof) that an employee receives excused leave under this Policy, the agency may require the employee to follow reasonable notice procedures in order to continue receiving excused leave. </w:t>
      </w:r>
    </w:p>
    <w:p w:rsidR="00D77D3B" w:rsidRDefault="00546445">
      <w:pPr>
        <w:spacing w:after="0" w:line="259" w:lineRule="auto"/>
        <w:ind w:left="2501" w:firstLine="0"/>
      </w:pPr>
      <w:r>
        <w:t xml:space="preserve"> </w:t>
      </w:r>
    </w:p>
    <w:p w:rsidR="00D77D3B" w:rsidRDefault="00546445">
      <w:pPr>
        <w:numPr>
          <w:ilvl w:val="6"/>
          <w:numId w:val="6"/>
        </w:numPr>
        <w:ind w:right="66" w:hanging="360"/>
      </w:pPr>
      <w:r>
        <w:t>All agencies must post the a</w:t>
      </w:r>
      <w:r>
        <w:t xml:space="preserve">ttached bulletin entitled “Employee Rights” at office locations, via e-mail to all employees, and/or by posting on the agency’s intranet site. </w:t>
      </w:r>
    </w:p>
    <w:p w:rsidR="00D77D3B" w:rsidRDefault="00546445">
      <w:pPr>
        <w:spacing w:after="0" w:line="259" w:lineRule="auto"/>
        <w:ind w:left="2501" w:firstLine="0"/>
      </w:pPr>
      <w:r>
        <w:t xml:space="preserve">  </w:t>
      </w:r>
    </w:p>
    <w:p w:rsidR="00D77D3B" w:rsidRDefault="00546445">
      <w:pPr>
        <w:ind w:left="1781" w:right="66" w:hanging="360"/>
      </w:pPr>
      <w:r>
        <w:t xml:space="preserve">2. </w:t>
      </w:r>
      <w:r>
        <w:t>Excused Leave at Full Pay – Employees are eligible for up to two workweeks of excused leave at full pay as</w:t>
      </w:r>
      <w:r>
        <w:t xml:space="preserve"> follows:</w:t>
      </w:r>
      <w:r>
        <w:t xml:space="preserve"> </w:t>
      </w:r>
    </w:p>
    <w:p w:rsidR="00D77D3B" w:rsidRDefault="00546445">
      <w:pPr>
        <w:spacing w:after="0" w:line="259" w:lineRule="auto"/>
        <w:ind w:left="1061" w:firstLine="0"/>
      </w:pPr>
      <w:r>
        <w:t xml:space="preserve"> </w:t>
      </w:r>
    </w:p>
    <w:p w:rsidR="00D77D3B" w:rsidRDefault="00546445">
      <w:pPr>
        <w:ind w:left="2136" w:right="66"/>
      </w:pPr>
      <w:r>
        <w:t>a.</w:t>
      </w:r>
      <w:r>
        <w:t xml:space="preserve"> </w:t>
      </w:r>
      <w:r>
        <w:t xml:space="preserve">The employee is exhibiting symptoms of COVID-19. </w:t>
      </w:r>
    </w:p>
    <w:p w:rsidR="00D77D3B" w:rsidRDefault="00546445">
      <w:pPr>
        <w:spacing w:after="6" w:line="259" w:lineRule="auto"/>
        <w:ind w:left="1061" w:firstLine="0"/>
      </w:pPr>
      <w:r>
        <w:t xml:space="preserve"> </w:t>
      </w:r>
    </w:p>
    <w:p w:rsidR="00D77D3B" w:rsidRDefault="00546445">
      <w:pPr>
        <w:numPr>
          <w:ilvl w:val="6"/>
          <w:numId w:val="7"/>
        </w:numPr>
        <w:spacing w:after="30"/>
        <w:ind w:left="2925" w:right="66" w:hanging="619"/>
      </w:pPr>
      <w:r>
        <w:t>If the employee has any documented symptom of COVID-19, the employee must not report to work for seven days after the symptoms started or for three days after the fever has stopped, whiche</w:t>
      </w:r>
      <w:r>
        <w:t>ver is longer.</w:t>
      </w:r>
      <w:r>
        <w:rPr>
          <w:vertAlign w:val="superscript"/>
        </w:rPr>
        <w:footnoteReference w:id="2"/>
      </w:r>
      <w:r>
        <w:t xml:space="preserve"> </w:t>
      </w:r>
    </w:p>
    <w:p w:rsidR="00D77D3B" w:rsidRDefault="00546445">
      <w:pPr>
        <w:spacing w:after="0" w:line="259" w:lineRule="auto"/>
        <w:ind w:left="1961" w:firstLine="0"/>
      </w:pPr>
      <w:r>
        <w:t xml:space="preserve"> </w:t>
      </w:r>
    </w:p>
    <w:p w:rsidR="00D77D3B" w:rsidRDefault="00546445">
      <w:pPr>
        <w:numPr>
          <w:ilvl w:val="6"/>
          <w:numId w:val="7"/>
        </w:numPr>
        <w:ind w:left="2925" w:right="66" w:hanging="619"/>
      </w:pPr>
      <w:r>
        <w:t xml:space="preserve">Any further absence beyond two workweeks may be charged to sick leave accruals. </w:t>
      </w:r>
    </w:p>
    <w:p w:rsidR="00D77D3B" w:rsidRDefault="00546445">
      <w:pPr>
        <w:spacing w:after="6" w:line="259" w:lineRule="auto"/>
        <w:ind w:left="341" w:firstLine="0"/>
      </w:pPr>
      <w:r>
        <w:t xml:space="preserve"> </w:t>
      </w:r>
    </w:p>
    <w:p w:rsidR="00D77D3B" w:rsidRDefault="00546445">
      <w:pPr>
        <w:numPr>
          <w:ilvl w:val="6"/>
          <w:numId w:val="7"/>
        </w:numPr>
        <w:ind w:left="2925" w:right="66" w:hanging="619"/>
      </w:pPr>
      <w:r>
        <w:t xml:space="preserve">The employee should provide documentation that he or she has exhibited symptoms of COVID-19. Documentation obtained from Teledoc or other on-line doctor’s services will be accepted.   </w:t>
      </w:r>
    </w:p>
    <w:p w:rsidR="00D77D3B" w:rsidRDefault="00546445">
      <w:pPr>
        <w:spacing w:after="0" w:line="259" w:lineRule="auto"/>
        <w:ind w:left="1061" w:firstLine="0"/>
      </w:pPr>
      <w:r>
        <w:t xml:space="preserve"> </w:t>
      </w:r>
    </w:p>
    <w:p w:rsidR="00D77D3B" w:rsidRDefault="00546445">
      <w:pPr>
        <w:numPr>
          <w:ilvl w:val="5"/>
          <w:numId w:val="9"/>
        </w:numPr>
        <w:ind w:right="66" w:hanging="360"/>
      </w:pPr>
      <w:r>
        <w:t>The employee is subject to a governmental quarantine or isolation ord</w:t>
      </w:r>
      <w:r>
        <w:t xml:space="preserve">er.  </w:t>
      </w:r>
    </w:p>
    <w:p w:rsidR="00D77D3B" w:rsidRDefault="00546445">
      <w:pPr>
        <w:spacing w:after="0" w:line="259" w:lineRule="auto"/>
        <w:ind w:left="0" w:firstLine="0"/>
        <w:jc w:val="right"/>
      </w:pPr>
      <w:r>
        <w:t xml:space="preserve"> </w:t>
      </w:r>
    </w:p>
    <w:p w:rsidR="00D77D3B" w:rsidRDefault="00546445">
      <w:pPr>
        <w:numPr>
          <w:ilvl w:val="5"/>
          <w:numId w:val="9"/>
        </w:numPr>
        <w:ind w:right="66" w:hanging="360"/>
      </w:pPr>
      <w:r>
        <w:t>The employee has been advised by a licensed health care provider to selfquarantine either because of exposure to COVID-19 or because of heightened risk associated with exposure to COVID-19. The employee must provide documentation of the health care</w:t>
      </w:r>
      <w:r>
        <w:t xml:space="preserve"> provider’s advice.  </w:t>
      </w:r>
      <w:r>
        <w:t xml:space="preserve"> </w:t>
      </w:r>
    </w:p>
    <w:p w:rsidR="00D77D3B" w:rsidRDefault="00546445">
      <w:pPr>
        <w:spacing w:after="0" w:line="259" w:lineRule="auto"/>
        <w:ind w:left="341" w:firstLine="0"/>
      </w:pPr>
      <w:r>
        <w:t xml:space="preserve"> </w:t>
      </w:r>
    </w:p>
    <w:p w:rsidR="00D77D3B" w:rsidRDefault="00546445">
      <w:pPr>
        <w:ind w:left="1781" w:right="66" w:hanging="360"/>
      </w:pPr>
      <w:r>
        <w:t>3.</w:t>
      </w:r>
      <w:r>
        <w:t xml:space="preserve"> </w:t>
      </w:r>
      <w:r>
        <w:t xml:space="preserve">Excused Leave at Partial Pay.  Except as provided in subsection “d” below, employees are eligible for two workweeks of excused leave at partial pay (twothirds of the employee’s regular rate of pay, not to exceed $200 per day or </w:t>
      </w:r>
      <w:r>
        <w:t xml:space="preserve">a total of $2,000) as follows:  </w:t>
      </w:r>
    </w:p>
    <w:p w:rsidR="00D77D3B" w:rsidRDefault="00546445">
      <w:pPr>
        <w:spacing w:after="0" w:line="259" w:lineRule="auto"/>
        <w:ind w:left="341" w:firstLine="0"/>
      </w:pPr>
      <w:r>
        <w:t xml:space="preserve"> </w:t>
      </w:r>
    </w:p>
    <w:p w:rsidR="00D77D3B" w:rsidRDefault="00546445">
      <w:pPr>
        <w:numPr>
          <w:ilvl w:val="5"/>
          <w:numId w:val="12"/>
        </w:numPr>
        <w:ind w:right="66" w:hanging="360"/>
      </w:pPr>
      <w:r>
        <w:t xml:space="preserve">The employee is caring for an individual subject to a governmental quarantine or isolation order. </w:t>
      </w:r>
    </w:p>
    <w:p w:rsidR="00D77D3B" w:rsidRDefault="00546445">
      <w:pPr>
        <w:spacing w:after="0" w:line="259" w:lineRule="auto"/>
        <w:ind w:left="341" w:firstLine="0"/>
      </w:pPr>
      <w:r>
        <w:t xml:space="preserve"> </w:t>
      </w:r>
    </w:p>
    <w:p w:rsidR="00D77D3B" w:rsidRDefault="00546445">
      <w:pPr>
        <w:numPr>
          <w:ilvl w:val="5"/>
          <w:numId w:val="12"/>
        </w:numPr>
        <w:ind w:right="66" w:hanging="360"/>
      </w:pPr>
      <w:r>
        <w:t>The employee is caring for an individual who has been advised by a licensed health care provider to self-quarantine either because of exposure to COVID-19 or because of heightened risk associated with exposure to COVID-19. The employee must provide documen</w:t>
      </w:r>
      <w:r>
        <w:t xml:space="preserve">tation of the health care provider’s advice. </w:t>
      </w:r>
    </w:p>
    <w:p w:rsidR="00D77D3B" w:rsidRDefault="00546445">
      <w:pPr>
        <w:spacing w:after="0" w:line="259" w:lineRule="auto"/>
        <w:ind w:left="341" w:firstLine="0"/>
      </w:pPr>
      <w:r>
        <w:t xml:space="preserve"> </w:t>
      </w:r>
    </w:p>
    <w:p w:rsidR="00D77D3B" w:rsidRDefault="00546445">
      <w:pPr>
        <w:numPr>
          <w:ilvl w:val="5"/>
          <w:numId w:val="12"/>
        </w:numPr>
        <w:ind w:right="66" w:hanging="360"/>
      </w:pPr>
      <w:r>
        <w:t xml:space="preserve">The employee is caring for a son or daughter under 18 years of age whose school or place of care has been closed or whose child care provider is unavailable due to COVID-19 precautions.  </w:t>
      </w:r>
    </w:p>
    <w:p w:rsidR="00D77D3B" w:rsidRDefault="00546445">
      <w:pPr>
        <w:spacing w:after="0" w:line="259" w:lineRule="auto"/>
        <w:ind w:left="1061" w:firstLine="0"/>
      </w:pPr>
      <w:r>
        <w:t xml:space="preserve"> </w:t>
      </w:r>
    </w:p>
    <w:p w:rsidR="00D77D3B" w:rsidRDefault="00546445">
      <w:pPr>
        <w:numPr>
          <w:ilvl w:val="5"/>
          <w:numId w:val="12"/>
        </w:numPr>
        <w:ind w:right="66" w:hanging="360"/>
      </w:pPr>
      <w:r>
        <w:t>Health Care Providers and Emergency Responders are not eligible for excused leave at partial pay</w:t>
      </w:r>
      <w:r>
        <w:t>. Health Care Providers and Emergency Responders may be eligible to receive child care at a Regional Enrichment Center administered through the Department of Ed</w:t>
      </w:r>
      <w:r>
        <w:t xml:space="preserve">ucation.   </w:t>
      </w:r>
    </w:p>
    <w:p w:rsidR="00D77D3B" w:rsidRDefault="00546445">
      <w:pPr>
        <w:spacing w:after="0" w:line="259" w:lineRule="auto"/>
        <w:ind w:left="2501" w:firstLine="0"/>
      </w:pPr>
      <w:r>
        <w:t xml:space="preserve"> </w:t>
      </w:r>
    </w:p>
    <w:p w:rsidR="00D77D3B" w:rsidRDefault="00546445">
      <w:pPr>
        <w:spacing w:after="0" w:line="259" w:lineRule="auto"/>
        <w:ind w:left="341" w:firstLine="0"/>
      </w:pPr>
      <w:r>
        <w:t xml:space="preserve"> </w:t>
      </w:r>
    </w:p>
    <w:p w:rsidR="00D77D3B" w:rsidRDefault="00546445">
      <w:pPr>
        <w:spacing w:after="10"/>
        <w:ind w:left="1061" w:right="51" w:hanging="360"/>
      </w:pPr>
      <w:r>
        <w:t xml:space="preserve">B. Leave to Care for a Child Under the Emergency Family and Medical Leave Expansion Act </w:t>
      </w:r>
    </w:p>
    <w:p w:rsidR="00D77D3B" w:rsidRDefault="00546445">
      <w:pPr>
        <w:spacing w:after="0" w:line="259" w:lineRule="auto"/>
        <w:ind w:left="341" w:firstLine="0"/>
      </w:pPr>
      <w:r>
        <w:t xml:space="preserve"> </w:t>
      </w:r>
    </w:p>
    <w:p w:rsidR="00D77D3B" w:rsidRDefault="00546445">
      <w:pPr>
        <w:numPr>
          <w:ilvl w:val="1"/>
          <w:numId w:val="1"/>
        </w:numPr>
        <w:ind w:right="66" w:hanging="360"/>
      </w:pPr>
      <w:r>
        <w:t>Leave to care for a child under the Emergency Family and Medical Leave Expansion Act (Division C of the FFCRA) is available only to employees who hav</w:t>
      </w:r>
      <w:r>
        <w:t xml:space="preserve">e been employed for thirty (30) days or longer.  </w:t>
      </w:r>
    </w:p>
    <w:p w:rsidR="00D77D3B" w:rsidRDefault="00546445">
      <w:pPr>
        <w:spacing w:after="0" w:line="259" w:lineRule="auto"/>
        <w:ind w:left="1781" w:firstLine="0"/>
      </w:pPr>
      <w:r>
        <w:t xml:space="preserve"> </w:t>
      </w:r>
    </w:p>
    <w:p w:rsidR="00D77D3B" w:rsidRDefault="00546445">
      <w:pPr>
        <w:numPr>
          <w:ilvl w:val="1"/>
          <w:numId w:val="1"/>
        </w:numPr>
        <w:ind w:right="66" w:hanging="360"/>
      </w:pPr>
      <w:r>
        <w:t xml:space="preserve">Health Care Providers and Emergency Responders are not eligible for leave to care for a child under this section. Health Care Providers and Emergency Responders may be eligible to receive child care at a </w:t>
      </w:r>
      <w:r>
        <w:t xml:space="preserve">Regional Enrichment Center administered through the Department of Education. </w:t>
      </w:r>
    </w:p>
    <w:p w:rsidR="00D77D3B" w:rsidRDefault="00546445">
      <w:pPr>
        <w:spacing w:after="0" w:line="259" w:lineRule="auto"/>
        <w:ind w:left="1781" w:firstLine="0"/>
      </w:pPr>
      <w:r>
        <w:t xml:space="preserve"> </w:t>
      </w:r>
    </w:p>
    <w:p w:rsidR="00D77D3B" w:rsidRDefault="00546445">
      <w:pPr>
        <w:numPr>
          <w:ilvl w:val="1"/>
          <w:numId w:val="1"/>
        </w:numPr>
        <w:ind w:right="66" w:hanging="360"/>
      </w:pPr>
      <w:r>
        <w:t>Eligible employees may take up to 12 weeks of Family Medical Leave to care for a son or daughter whose school or place of care has been closed or whose child care provider is u</w:t>
      </w:r>
      <w:r>
        <w:t xml:space="preserve">navailable due to COVID-19 precautions and is unable to telework. </w:t>
      </w:r>
    </w:p>
    <w:p w:rsidR="00D77D3B" w:rsidRDefault="00546445">
      <w:pPr>
        <w:spacing w:after="0" w:line="259" w:lineRule="auto"/>
        <w:ind w:left="1781" w:firstLine="0"/>
      </w:pPr>
      <w:r>
        <w:t xml:space="preserve">  </w:t>
      </w:r>
    </w:p>
    <w:p w:rsidR="00D77D3B" w:rsidRDefault="00546445">
      <w:pPr>
        <w:numPr>
          <w:ilvl w:val="1"/>
          <w:numId w:val="1"/>
        </w:numPr>
        <w:ind w:right="66" w:hanging="360"/>
      </w:pPr>
      <w:r>
        <w:t xml:space="preserve">During the first ten work days of such leave, the employee may: </w:t>
      </w:r>
    </w:p>
    <w:p w:rsidR="00D77D3B" w:rsidRDefault="00546445">
      <w:pPr>
        <w:spacing w:after="0" w:line="259" w:lineRule="auto"/>
        <w:ind w:left="1061" w:firstLine="0"/>
      </w:pPr>
      <w:r>
        <w:t xml:space="preserve"> </w:t>
      </w:r>
    </w:p>
    <w:p w:rsidR="00D77D3B" w:rsidRDefault="00546445">
      <w:pPr>
        <w:numPr>
          <w:ilvl w:val="2"/>
          <w:numId w:val="1"/>
        </w:numPr>
        <w:ind w:right="66" w:hanging="360"/>
      </w:pPr>
      <w:r>
        <w:t>Receive excused leave at two-thirds of the regular rate of pay not to exceed $200 per day or a total of $2,000, in acco</w:t>
      </w:r>
      <w:r>
        <w:t xml:space="preserve">rdance with paragraph IV (A)(3)(c) above, or </w:t>
      </w:r>
    </w:p>
    <w:p w:rsidR="00D77D3B" w:rsidRDefault="00546445">
      <w:pPr>
        <w:spacing w:after="0" w:line="259" w:lineRule="auto"/>
        <w:ind w:left="2688" w:firstLine="0"/>
      </w:pPr>
      <w:r>
        <w:t xml:space="preserve">  </w:t>
      </w:r>
    </w:p>
    <w:p w:rsidR="00D77D3B" w:rsidRDefault="00546445">
      <w:pPr>
        <w:numPr>
          <w:ilvl w:val="2"/>
          <w:numId w:val="1"/>
        </w:numPr>
        <w:ind w:right="66" w:hanging="360"/>
      </w:pPr>
      <w:r>
        <w:t xml:space="preserve">Elect to utilize accrued annual leave or compensatory time. </w:t>
      </w:r>
    </w:p>
    <w:p w:rsidR="00D77D3B" w:rsidRDefault="00546445">
      <w:pPr>
        <w:spacing w:after="0" w:line="259" w:lineRule="auto"/>
        <w:ind w:left="1061" w:firstLine="0"/>
      </w:pPr>
      <w:r>
        <w:t xml:space="preserve"> </w:t>
      </w:r>
    </w:p>
    <w:p w:rsidR="00D77D3B" w:rsidRDefault="00546445">
      <w:pPr>
        <w:numPr>
          <w:ilvl w:val="1"/>
          <w:numId w:val="1"/>
        </w:numPr>
        <w:ind w:right="66" w:hanging="360"/>
      </w:pPr>
      <w:r>
        <w:t>After the first ten work days of leave to care for a child under this section, leave shall be paid at two-thirds of the regular rate of pay not to exceed $200 per day or a total of $10,000. The employee may not utilize accrued leave or compensatory time du</w:t>
      </w:r>
      <w:r>
        <w:t xml:space="preserve">ring this ten-week period. </w:t>
      </w:r>
    </w:p>
    <w:p w:rsidR="00D77D3B" w:rsidRDefault="00546445">
      <w:pPr>
        <w:spacing w:after="0" w:line="259" w:lineRule="auto"/>
        <w:ind w:left="1781" w:firstLine="0"/>
      </w:pPr>
      <w:r>
        <w:t xml:space="preserve">  </w:t>
      </w:r>
    </w:p>
    <w:p w:rsidR="00D77D3B" w:rsidRDefault="00546445">
      <w:pPr>
        <w:numPr>
          <w:ilvl w:val="1"/>
          <w:numId w:val="1"/>
        </w:numPr>
        <w:ind w:right="66" w:hanging="360"/>
      </w:pPr>
      <w:r>
        <w:t>An eligible employee may utilize leave to care for a child intermittently as agreed upon by the agency and the employee. Unless the employee can telework, this leave must be taken in full-day increments</w:t>
      </w:r>
      <w:r>
        <w:rPr>
          <w:color w:val="1F497D"/>
        </w:rPr>
        <w:t>.</w:t>
      </w:r>
      <w:r>
        <w:t xml:space="preserve"> </w:t>
      </w:r>
    </w:p>
    <w:p w:rsidR="00D77D3B" w:rsidRDefault="00546445">
      <w:pPr>
        <w:spacing w:after="0" w:line="259" w:lineRule="auto"/>
        <w:ind w:left="1781" w:firstLine="0"/>
      </w:pPr>
      <w:r>
        <w:t xml:space="preserve"> </w:t>
      </w:r>
    </w:p>
    <w:sectPr w:rsidR="00D77D3B">
      <w:footerReference w:type="even" r:id="rId7"/>
      <w:footerReference w:type="default" r:id="rId8"/>
      <w:footerReference w:type="first" r:id="rId9"/>
      <w:pgSz w:w="12240" w:h="15840"/>
      <w:pgMar w:top="1497" w:right="1380" w:bottom="1440" w:left="10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45" w:rsidRDefault="00546445">
      <w:pPr>
        <w:spacing w:after="0" w:line="240" w:lineRule="auto"/>
      </w:pPr>
      <w:r>
        <w:separator/>
      </w:r>
    </w:p>
  </w:endnote>
  <w:endnote w:type="continuationSeparator" w:id="0">
    <w:p w:rsidR="00546445" w:rsidRDefault="0054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3B" w:rsidRDefault="00546445">
    <w:pPr>
      <w:spacing w:after="0" w:line="259" w:lineRule="auto"/>
      <w:ind w:left="281" w:firstLine="0"/>
      <w:jc w:val="center"/>
    </w:pPr>
    <w:r>
      <w:fldChar w:fldCharType="begin"/>
    </w:r>
    <w:r>
      <w:instrText xml:space="preserve"> PAGE   \* MERGEFORMAT </w:instrText>
    </w:r>
    <w:r>
      <w:fldChar w:fldCharType="separate"/>
    </w:r>
    <w:r>
      <w:t>2</w:t>
    </w:r>
    <w:r>
      <w:fldChar w:fldCharType="end"/>
    </w:r>
    <w:r>
      <w:t xml:space="preserve"> </w:t>
    </w:r>
  </w:p>
  <w:p w:rsidR="00D77D3B" w:rsidRDefault="00546445">
    <w:pPr>
      <w:spacing w:after="0" w:line="259" w:lineRule="auto"/>
      <w:ind w:left="341"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3B" w:rsidRDefault="00546445">
    <w:pPr>
      <w:spacing w:after="0" w:line="259" w:lineRule="auto"/>
      <w:ind w:left="281" w:firstLine="0"/>
      <w:jc w:val="center"/>
    </w:pPr>
    <w:r>
      <w:fldChar w:fldCharType="begin"/>
    </w:r>
    <w:r>
      <w:instrText xml:space="preserve"> PAGE   \* MERGEFORMAT </w:instrText>
    </w:r>
    <w:r>
      <w:fldChar w:fldCharType="separate"/>
    </w:r>
    <w:r w:rsidR="00BB7C54">
      <w:rPr>
        <w:noProof/>
      </w:rPr>
      <w:t>2</w:t>
    </w:r>
    <w:r>
      <w:fldChar w:fldCharType="end"/>
    </w:r>
    <w:r>
      <w:t xml:space="preserve"> </w:t>
    </w:r>
  </w:p>
  <w:p w:rsidR="00D77D3B" w:rsidRDefault="00546445">
    <w:pPr>
      <w:spacing w:after="0" w:line="259" w:lineRule="auto"/>
      <w:ind w:left="341"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3B" w:rsidRDefault="00D77D3B">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45" w:rsidRDefault="00546445">
      <w:pPr>
        <w:spacing w:after="0" w:line="277" w:lineRule="auto"/>
        <w:ind w:left="341" w:firstLine="0"/>
      </w:pPr>
      <w:r>
        <w:separator/>
      </w:r>
    </w:p>
  </w:footnote>
  <w:footnote w:type="continuationSeparator" w:id="0">
    <w:p w:rsidR="00546445" w:rsidRDefault="00546445">
      <w:pPr>
        <w:spacing w:after="0" w:line="277" w:lineRule="auto"/>
        <w:ind w:left="341" w:firstLine="0"/>
      </w:pPr>
      <w:r>
        <w:continuationSeparator/>
      </w:r>
    </w:p>
  </w:footnote>
  <w:footnote w:id="1">
    <w:p w:rsidR="00D77D3B" w:rsidRDefault="00546445">
      <w:pPr>
        <w:pStyle w:val="footnotedescription"/>
      </w:pPr>
      <w:r>
        <w:rPr>
          <w:rStyle w:val="footnotemark"/>
        </w:rPr>
        <w:footnoteRef/>
      </w:r>
      <w:r>
        <w:t xml:space="preserve"> Division C of the FFCRA is entitled the “Emergency Family and Medical Leave Expansion Act.” Division E of the FFCRA is entitled the “Emergency Paid Sick Leave Act.” </w:t>
      </w:r>
    </w:p>
  </w:footnote>
  <w:footnote w:id="2">
    <w:p w:rsidR="00D77D3B" w:rsidRDefault="00546445">
      <w:pPr>
        <w:pStyle w:val="footnotedescription"/>
        <w:spacing w:line="292" w:lineRule="auto"/>
      </w:pPr>
      <w:r>
        <w:rPr>
          <w:rStyle w:val="footnotemark"/>
        </w:rPr>
        <w:footnoteRef/>
      </w:r>
      <w:r>
        <w:t xml:space="preserve"> See “Stay Home, New Yorkers: What you need to Know about COVID-19,”  New York City Depa</w:t>
      </w:r>
      <w:r>
        <w:t xml:space="preserve">rtment of Health and Mental Hygiene (March 15, 2020) at </w:t>
      </w:r>
    </w:p>
    <w:p w:rsidR="00D77D3B" w:rsidRDefault="00546445">
      <w:pPr>
        <w:pStyle w:val="footnotedescription"/>
        <w:spacing w:line="259" w:lineRule="auto"/>
      </w:pPr>
      <w:r>
        <w:rPr>
          <w:color w:val="0000FF"/>
          <w:u w:val="single" w:color="0000FF"/>
        </w:rPr>
        <w:t>https://www1.nyc.gov/assets/doh/downloads/pdf/imm/coronavirus-factsheet.pdf</w:t>
      </w:r>
      <w:r>
        <w:rPr>
          <w:color w:val="5A5A5A"/>
        </w:rPr>
        <w:t xml:space="preserve"> </w:t>
      </w:r>
      <w:r>
        <w:rPr>
          <w:color w:val="5A5A5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1F88"/>
    <w:multiLevelType w:val="hybridMultilevel"/>
    <w:tmpl w:val="D0641234"/>
    <w:lvl w:ilvl="0" w:tplc="DAA0D0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0650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A46D8">
      <w:start w:val="1"/>
      <w:numFmt w:val="lowerRoman"/>
      <w:lvlText w:val="%3"/>
      <w:lvlJc w:val="left"/>
      <w:pPr>
        <w:ind w:left="1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271CC">
      <w:start w:val="1"/>
      <w:numFmt w:val="decimal"/>
      <w:lvlText w:val="%4"/>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09D90">
      <w:start w:val="1"/>
      <w:numFmt w:val="lowerLetter"/>
      <w:lvlText w:val="%5"/>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C3A4A">
      <w:start w:val="1"/>
      <w:numFmt w:val="decimal"/>
      <w:lvlRestart w:val="0"/>
      <w:lvlText w:val="%6."/>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64638">
      <w:start w:val="1"/>
      <w:numFmt w:val="decimal"/>
      <w:lvlText w:val="%7"/>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ED332">
      <w:start w:val="1"/>
      <w:numFmt w:val="lowerLetter"/>
      <w:lvlText w:val="%8"/>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7F66">
      <w:start w:val="1"/>
      <w:numFmt w:val="lowerRoman"/>
      <w:lvlText w:val="%9"/>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33945"/>
    <w:multiLevelType w:val="hybridMultilevel"/>
    <w:tmpl w:val="8F04EDCA"/>
    <w:lvl w:ilvl="0" w:tplc="E5F474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239C8">
      <w:start w:val="1"/>
      <w:numFmt w:val="lowerLetter"/>
      <w:lvlText w:val="%2"/>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0016E">
      <w:start w:val="1"/>
      <w:numFmt w:val="lowerRoman"/>
      <w:lvlText w:val="%3"/>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A2978">
      <w:start w:val="1"/>
      <w:numFmt w:val="decimal"/>
      <w:lvlText w:val="%4"/>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6082E">
      <w:start w:val="1"/>
      <w:numFmt w:val="lowerLetter"/>
      <w:lvlText w:val="%5"/>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A2CB8">
      <w:start w:val="1"/>
      <w:numFmt w:val="lowerRoman"/>
      <w:lvlText w:val="%6"/>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842A8">
      <w:start w:val="1"/>
      <w:numFmt w:val="decimal"/>
      <w:lvlText w:val="%7"/>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41DC0">
      <w:start w:val="1"/>
      <w:numFmt w:val="lowerLetter"/>
      <w:lvlRestart w:val="0"/>
      <w:lvlText w:val="%8."/>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C07FA">
      <w:start w:val="1"/>
      <w:numFmt w:val="lowerRoman"/>
      <w:lvlText w:val="%9"/>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984D9C"/>
    <w:multiLevelType w:val="hybridMultilevel"/>
    <w:tmpl w:val="5C36097E"/>
    <w:lvl w:ilvl="0" w:tplc="9BF0CD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6D710">
      <w:start w:val="1"/>
      <w:numFmt w:val="lowerLetter"/>
      <w:lvlText w:val="%2"/>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4E2D6">
      <w:start w:val="1"/>
      <w:numFmt w:val="lowerRoman"/>
      <w:lvlText w:val="%3"/>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C1806">
      <w:start w:val="3"/>
      <w:numFmt w:val="upperLetter"/>
      <w:lvlRestart w:val="0"/>
      <w:lvlText w:val="%4."/>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825C">
      <w:start w:val="1"/>
      <w:numFmt w:val="lowerLetter"/>
      <w:lvlText w:val="%5"/>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419B4">
      <w:start w:val="1"/>
      <w:numFmt w:val="lowerRoman"/>
      <w:lvlText w:val="%6"/>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AD09C">
      <w:start w:val="1"/>
      <w:numFmt w:val="decimal"/>
      <w:lvlText w:val="%7"/>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E5C8A">
      <w:start w:val="1"/>
      <w:numFmt w:val="lowerLetter"/>
      <w:lvlText w:val="%8"/>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27B42">
      <w:start w:val="1"/>
      <w:numFmt w:val="lowerRoman"/>
      <w:lvlText w:val="%9"/>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94FA9"/>
    <w:multiLevelType w:val="hybridMultilevel"/>
    <w:tmpl w:val="B6D21446"/>
    <w:lvl w:ilvl="0" w:tplc="23BE8B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0182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60FAC">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CC59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B698">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86564">
      <w:start w:val="2"/>
      <w:numFmt w:val="lowerLetter"/>
      <w:lvlRestart w:val="0"/>
      <w:lvlText w:val="%6."/>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0E602">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4CFF2">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46CDE">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A311A1"/>
    <w:multiLevelType w:val="hybridMultilevel"/>
    <w:tmpl w:val="EB14119E"/>
    <w:lvl w:ilvl="0" w:tplc="61A6AA2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C6E5C">
      <w:start w:val="1"/>
      <w:numFmt w:val="bullet"/>
      <w:lvlText w:val="o"/>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ECA5E">
      <w:start w:val="1"/>
      <w:numFmt w:val="bullet"/>
      <w:lvlText w:val="▪"/>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25A34">
      <w:start w:val="1"/>
      <w:numFmt w:val="bullet"/>
      <w:lvlText w:val="•"/>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6DFBA">
      <w:start w:val="1"/>
      <w:numFmt w:val="bullet"/>
      <w:lvlRestart w:val="0"/>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9E3A48">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C1EC4">
      <w:start w:val="1"/>
      <w:numFmt w:val="bullet"/>
      <w:lvlText w:val="•"/>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C6342">
      <w:start w:val="1"/>
      <w:numFmt w:val="bullet"/>
      <w:lvlText w:val="o"/>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06156">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1A6F59"/>
    <w:multiLevelType w:val="hybridMultilevel"/>
    <w:tmpl w:val="CF44FD0E"/>
    <w:lvl w:ilvl="0" w:tplc="B4C45A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C714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A22810">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8BFE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47B28">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81D36">
      <w:start w:val="1"/>
      <w:numFmt w:val="lowerLetter"/>
      <w:lvlRestart w:val="0"/>
      <w:lvlText w:val="%6."/>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29BE2">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2C244">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CFAC4">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EA7F21"/>
    <w:multiLevelType w:val="hybridMultilevel"/>
    <w:tmpl w:val="BD261256"/>
    <w:lvl w:ilvl="0" w:tplc="E040AE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67F5A">
      <w:start w:val="1"/>
      <w:numFmt w:val="lowerLetter"/>
      <w:lvlText w:val="%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A94D6">
      <w:start w:val="1"/>
      <w:numFmt w:val="lowerRoman"/>
      <w:lvlText w:val="%3"/>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8D9EC">
      <w:start w:val="1"/>
      <w:numFmt w:val="decimal"/>
      <w:lvlText w:val="%4"/>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89C9E">
      <w:start w:val="1"/>
      <w:numFmt w:val="lowerLetter"/>
      <w:lvlText w:val="%5"/>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8C358">
      <w:start w:val="1"/>
      <w:numFmt w:val="lowerRoman"/>
      <w:lvlText w:val="%6"/>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8D3AE">
      <w:start w:val="1"/>
      <w:numFmt w:val="lowerRoman"/>
      <w:lvlRestart w:val="0"/>
      <w:lvlText w:val="%7."/>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4EB7C">
      <w:start w:val="1"/>
      <w:numFmt w:val="lowerLetter"/>
      <w:lvlText w:val="%8"/>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0B5A2">
      <w:start w:val="1"/>
      <w:numFmt w:val="lowerRoman"/>
      <w:lvlText w:val="%9"/>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871F5C"/>
    <w:multiLevelType w:val="hybridMultilevel"/>
    <w:tmpl w:val="81A2C3E8"/>
    <w:lvl w:ilvl="0" w:tplc="4BE039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E6724">
      <w:start w:val="1"/>
      <w:numFmt w:val="lowerLetter"/>
      <w:lvlText w:val="%2"/>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22264">
      <w:start w:val="1"/>
      <w:numFmt w:val="lowerRoman"/>
      <w:lvlText w:val="%3"/>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E447C">
      <w:start w:val="1"/>
      <w:numFmt w:val="decimal"/>
      <w:lvlText w:val="%4"/>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E2158">
      <w:start w:val="1"/>
      <w:numFmt w:val="decimal"/>
      <w:lvlRestart w:val="0"/>
      <w:lvlText w:val="%5."/>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2857A">
      <w:start w:val="1"/>
      <w:numFmt w:val="lowerRoman"/>
      <w:lvlText w:val="%6"/>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0EEB0">
      <w:start w:val="1"/>
      <w:numFmt w:val="decimal"/>
      <w:lvlText w:val="%7"/>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034B4">
      <w:start w:val="1"/>
      <w:numFmt w:val="lowerLetter"/>
      <w:lvlText w:val="%8"/>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AFE9C">
      <w:start w:val="1"/>
      <w:numFmt w:val="lowerRoman"/>
      <w:lvlText w:val="%9"/>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784304"/>
    <w:multiLevelType w:val="hybridMultilevel"/>
    <w:tmpl w:val="7944804A"/>
    <w:lvl w:ilvl="0" w:tplc="328EC8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ED006">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E611C">
      <w:start w:val="1"/>
      <w:numFmt w:val="lowerRoman"/>
      <w:lvlText w:val="%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4C86">
      <w:start w:val="1"/>
      <w:numFmt w:val="decimal"/>
      <w:lvlText w:val="%4"/>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EE872">
      <w:start w:val="1"/>
      <w:numFmt w:val="decimal"/>
      <w:lvlRestart w:val="0"/>
      <w:lvlText w:val="%5."/>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2D07C">
      <w:start w:val="1"/>
      <w:numFmt w:val="lowerRoman"/>
      <w:lvlText w:val="%6"/>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0B020">
      <w:start w:val="1"/>
      <w:numFmt w:val="decimal"/>
      <w:lvlText w:val="%7"/>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0F2C6">
      <w:start w:val="1"/>
      <w:numFmt w:val="lowerLetter"/>
      <w:lvlText w:val="%8"/>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A2976">
      <w:start w:val="1"/>
      <w:numFmt w:val="lowerRoman"/>
      <w:lvlText w:val="%9"/>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1E0C4A"/>
    <w:multiLevelType w:val="hybridMultilevel"/>
    <w:tmpl w:val="330A94A0"/>
    <w:lvl w:ilvl="0" w:tplc="342CF3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EEFDA">
      <w:start w:val="1"/>
      <w:numFmt w:val="lowerLetter"/>
      <w:lvlText w:val="%2"/>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0537E">
      <w:start w:val="1"/>
      <w:numFmt w:val="upperLetter"/>
      <w:lvlRestart w:val="0"/>
      <w:lvlText w:val="%3."/>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DD06">
      <w:start w:val="1"/>
      <w:numFmt w:val="decimal"/>
      <w:lvlText w:val="%4"/>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6B016">
      <w:start w:val="1"/>
      <w:numFmt w:val="lowerLetter"/>
      <w:lvlText w:val="%5"/>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4B7E2">
      <w:start w:val="1"/>
      <w:numFmt w:val="lowerRoman"/>
      <w:lvlText w:val="%6"/>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C2DE2">
      <w:start w:val="1"/>
      <w:numFmt w:val="decimal"/>
      <w:lvlText w:val="%7"/>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8DDA2">
      <w:start w:val="1"/>
      <w:numFmt w:val="lowerLetter"/>
      <w:lvlText w:val="%8"/>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62E7E">
      <w:start w:val="1"/>
      <w:numFmt w:val="lowerRoman"/>
      <w:lvlText w:val="%9"/>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2A00B0"/>
    <w:multiLevelType w:val="hybridMultilevel"/>
    <w:tmpl w:val="1332D518"/>
    <w:lvl w:ilvl="0" w:tplc="703885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2379E">
      <w:start w:val="1"/>
      <w:numFmt w:val="lowerLetter"/>
      <w:lvlText w:val="%2"/>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48424">
      <w:start w:val="1"/>
      <w:numFmt w:val="lowerRoman"/>
      <w:lvlText w:val="%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B072">
      <w:start w:val="1"/>
      <w:numFmt w:val="decimal"/>
      <w:lvlText w:val="%4"/>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0CEF6">
      <w:start w:val="1"/>
      <w:numFmt w:val="lowerLetter"/>
      <w:lvlText w:val="%5"/>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A1E0C">
      <w:start w:val="1"/>
      <w:numFmt w:val="lowerRoman"/>
      <w:lvlText w:val="%6"/>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CAFD0">
      <w:start w:val="1"/>
      <w:numFmt w:val="lowerLetter"/>
      <w:lvlRestart w:val="0"/>
      <w:lvlText w:val="%7."/>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8BC18">
      <w:start w:val="1"/>
      <w:numFmt w:val="lowerLetter"/>
      <w:lvlText w:val="%8"/>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A2FF8">
      <w:start w:val="1"/>
      <w:numFmt w:val="lowerRoman"/>
      <w:lvlText w:val="%9"/>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631795"/>
    <w:multiLevelType w:val="hybridMultilevel"/>
    <w:tmpl w:val="B4220FB6"/>
    <w:lvl w:ilvl="0" w:tplc="33A6C32C">
      <w:start w:val="1"/>
      <w:numFmt w:val="upperRoman"/>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6D67C">
      <w:start w:val="1"/>
      <w:numFmt w:val="decimal"/>
      <w:lvlText w:val="%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C8126">
      <w:start w:val="1"/>
      <w:numFmt w:val="lowerLetter"/>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43C9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0278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8973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C30A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872D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EE6D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4"/>
  </w:num>
  <w:num w:numId="3">
    <w:abstractNumId w:val="8"/>
  </w:num>
  <w:num w:numId="4">
    <w:abstractNumId w:val="2"/>
  </w:num>
  <w:num w:numId="5">
    <w:abstractNumId w:val="0"/>
  </w:num>
  <w:num w:numId="6">
    <w:abstractNumId w:val="10"/>
  </w:num>
  <w:num w:numId="7">
    <w:abstractNumId w:val="6"/>
  </w:num>
  <w:num w:numId="8">
    <w:abstractNumId w:val="7"/>
  </w:num>
  <w:num w:numId="9">
    <w:abstractNumId w:val="3"/>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3B"/>
    <w:rsid w:val="00546445"/>
    <w:rsid w:val="00BB7C54"/>
    <w:rsid w:val="00D7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1A08E42-E353-4ED5-A988-A0CD4215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9" w:lineRule="auto"/>
      <w:ind w:left="35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7" w:lineRule="auto"/>
      <w:ind w:left="3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- 20200401-2030 Updated Leave Policy Applicable to Employees During Outbreak</vt:lpstr>
    </vt:vector>
  </TitlesOfParts>
  <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- 20200401-2030 Updated Leave Policy Applicable to Employees During Outbreak</dc:title>
  <dc:subject/>
  <dc:creator>sxu</dc:creator>
  <cp:keywords/>
  <cp:lastModifiedBy/>
  <cp:revision>1</cp:revision>
  <dcterms:created xsi:type="dcterms:W3CDTF">2020-04-02T13:16:00Z</dcterms:created>
  <dcterms:modified xsi:type="dcterms:W3CDTF">2020-04-02T13:16:00Z</dcterms:modified>
</cp:coreProperties>
</file>